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DF" w:rsidRDefault="00FD7EDF" w:rsidP="00FD7EDF">
      <w:pPr>
        <w:snapToGrid w:val="0"/>
        <w:spacing w:line="440" w:lineRule="exact"/>
        <w:rPr>
          <w:rFonts w:ascii="宋体" w:hAnsi="宋体"/>
          <w:color w:val="000000"/>
          <w:sz w:val="24"/>
        </w:rPr>
      </w:pPr>
      <w:r>
        <w:rPr>
          <w:rFonts w:ascii="宋体" w:hAnsi="宋体" w:hint="eastAsia"/>
          <w:color w:val="000000"/>
          <w:sz w:val="24"/>
        </w:rPr>
        <w:t>附件</w:t>
      </w:r>
      <w:r>
        <w:rPr>
          <w:rFonts w:ascii="宋体" w:hAnsi="宋体" w:hint="eastAsia"/>
          <w:color w:val="000000"/>
          <w:sz w:val="24"/>
        </w:rPr>
        <w:t>3</w:t>
      </w:r>
      <w:bookmarkStart w:id="0" w:name="_GoBack"/>
      <w:bookmarkEnd w:id="0"/>
      <w:r>
        <w:rPr>
          <w:rFonts w:ascii="宋体" w:hAnsi="宋体" w:hint="eastAsia"/>
          <w:color w:val="000000"/>
          <w:sz w:val="24"/>
        </w:rPr>
        <w:t>：</w:t>
      </w:r>
    </w:p>
    <w:p w:rsidR="00FD7EDF" w:rsidRDefault="00FD7EDF" w:rsidP="00FD7EDF">
      <w:pPr>
        <w:snapToGrid w:val="0"/>
        <w:spacing w:line="440" w:lineRule="exact"/>
        <w:rPr>
          <w:rFonts w:ascii="仿宋_GB2312" w:eastAsia="仿宋_GB2312" w:hAnsi="宋体" w:hint="eastAsia"/>
          <w:color w:val="000000"/>
          <w:sz w:val="28"/>
          <w:szCs w:val="28"/>
        </w:rPr>
      </w:pPr>
    </w:p>
    <w:p w:rsidR="00FD7EDF" w:rsidRDefault="00FD7EDF" w:rsidP="00FD7EDF">
      <w:pPr>
        <w:snapToGrid w:val="0"/>
        <w:spacing w:line="440" w:lineRule="exact"/>
        <w:jc w:val="center"/>
        <w:rPr>
          <w:rFonts w:ascii="黑体" w:eastAsia="黑体" w:hAnsi="宋体" w:hint="eastAsia"/>
          <w:b/>
          <w:color w:val="000000"/>
          <w:sz w:val="32"/>
          <w:szCs w:val="32"/>
        </w:rPr>
      </w:pPr>
      <w:r>
        <w:rPr>
          <w:rFonts w:ascii="黑体" w:eastAsia="黑体" w:hAnsi="宋体" w:hint="eastAsia"/>
          <w:b/>
          <w:color w:val="000000"/>
          <w:sz w:val="32"/>
          <w:szCs w:val="32"/>
        </w:rPr>
        <w:t>应急预案（样本）</w:t>
      </w:r>
    </w:p>
    <w:p w:rsidR="00FD7EDF" w:rsidRDefault="00FD7EDF" w:rsidP="00FD7EDF">
      <w:pPr>
        <w:snapToGrid w:val="0"/>
        <w:spacing w:line="440" w:lineRule="exact"/>
        <w:ind w:firstLineChars="200" w:firstLine="562"/>
        <w:jc w:val="center"/>
        <w:rPr>
          <w:rFonts w:hAnsi="宋体" w:hint="eastAsia"/>
          <w:b/>
          <w:color w:val="000000"/>
          <w:sz w:val="28"/>
          <w:szCs w:val="28"/>
        </w:rPr>
      </w:pP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1</w:t>
      </w:r>
      <w:r>
        <w:rPr>
          <w:rFonts w:hAnsi="宋体" w:hint="eastAsia"/>
          <w:color w:val="000000"/>
          <w:sz w:val="24"/>
        </w:rPr>
        <w:t>．应急组织机构</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带队教师担任应急总指挥，根据需要设置报警联络组、抢救组、事故处置组和疏散组，决定其人员组成、人员分工，指定各应急组组长，规定具体职责；</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应急组织机构示意图如下：</w:t>
      </w:r>
    </w:p>
    <w:p w:rsidR="00FD7EDF" w:rsidRDefault="00FD7EDF" w:rsidP="00FD7EDF">
      <w:pPr>
        <w:snapToGrid w:val="0"/>
        <w:spacing w:line="440" w:lineRule="exact"/>
        <w:rPr>
          <w:rFonts w:hAnsi="宋体"/>
          <w:color w:val="000000"/>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43180</wp:posOffset>
                </wp:positionV>
                <wp:extent cx="4914900" cy="995680"/>
                <wp:effectExtent l="9525" t="5080" r="952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95680"/>
                          <a:chOff x="1980" y="8616"/>
                          <a:chExt cx="7740" cy="1568"/>
                        </a:xfrm>
                      </wpg:grpSpPr>
                      <wps:wsp>
                        <wps:cNvPr id="2" name="Line 3"/>
                        <wps:cNvCnPr/>
                        <wps:spPr bwMode="auto">
                          <a:xfrm flipH="1">
                            <a:off x="5940" y="908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980" y="8616"/>
                            <a:ext cx="7740" cy="1568"/>
                            <a:chOff x="1980" y="8616"/>
                            <a:chExt cx="7740" cy="1568"/>
                          </a:xfrm>
                        </wpg:grpSpPr>
                        <wps:wsp>
                          <wps:cNvPr id="4" name="Text Box 5"/>
                          <wps:cNvSpPr txBox="1">
                            <a:spLocks noChangeArrowheads="1"/>
                          </wps:cNvSpPr>
                          <wps:spPr bwMode="auto">
                            <a:xfrm>
                              <a:off x="1980" y="9708"/>
                              <a:ext cx="1785" cy="476"/>
                            </a:xfrm>
                            <a:prstGeom prst="rect">
                              <a:avLst/>
                            </a:prstGeom>
                            <a:solidFill>
                              <a:srgbClr val="FFFFFF"/>
                            </a:solidFill>
                            <a:ln w="9525">
                              <a:solidFill>
                                <a:srgbClr val="000000"/>
                              </a:solidFill>
                              <a:miter lim="800000"/>
                              <a:headEnd/>
                              <a:tailEnd/>
                            </a:ln>
                          </wps:spPr>
                          <wps:txbx>
                            <w:txbxContent>
                              <w:p w:rsidR="00FD7EDF" w:rsidRDefault="00FD7EDF" w:rsidP="00FD7EDF">
                                <w:pPr>
                                  <w:jc w:val="center"/>
                                  <w:rPr>
                                    <w:sz w:val="24"/>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140" y="9708"/>
                              <a:ext cx="1575" cy="468"/>
                            </a:xfrm>
                            <a:prstGeom prst="rect">
                              <a:avLst/>
                            </a:prstGeom>
                            <a:solidFill>
                              <a:srgbClr val="FFFFFF"/>
                            </a:solidFill>
                            <a:ln w="9525">
                              <a:solidFill>
                                <a:srgbClr val="000000"/>
                              </a:solidFill>
                              <a:miter lim="800000"/>
                              <a:headEnd/>
                              <a:tailEnd/>
                            </a:ln>
                          </wps:spPr>
                          <wps:txbx>
                            <w:txbxContent>
                              <w:p w:rsidR="00FD7EDF" w:rsidRDefault="00FD7EDF" w:rsidP="00FD7EDF">
                                <w:pPr>
                                  <w:jc w:val="center"/>
                                  <w:rPr>
                                    <w:sz w:val="24"/>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120" y="9708"/>
                              <a:ext cx="1740" cy="476"/>
                            </a:xfrm>
                            <a:prstGeom prst="rect">
                              <a:avLst/>
                            </a:prstGeom>
                            <a:solidFill>
                              <a:srgbClr val="FFFFFF"/>
                            </a:solidFill>
                            <a:ln w="9525">
                              <a:solidFill>
                                <a:srgbClr val="000000"/>
                              </a:solidFill>
                              <a:miter lim="800000"/>
                              <a:headEnd/>
                              <a:tailEnd/>
                            </a:ln>
                          </wps:spPr>
                          <wps:txbx>
                            <w:txbxContent>
                              <w:p w:rsidR="00FD7EDF" w:rsidRDefault="00FD7EDF" w:rsidP="00FD7EDF">
                                <w:pPr>
                                  <w:jc w:val="center"/>
                                  <w:rPr>
                                    <w:sz w:val="24"/>
                                  </w:rPr>
                                </w:pPr>
                              </w:p>
                            </w:txbxContent>
                          </wps:txbx>
                          <wps:bodyPr rot="0" vert="horz" wrap="square" lIns="91440" tIns="45720" rIns="91440" bIns="45720" anchor="t" anchorCtr="0" upright="1">
                            <a:noAutofit/>
                          </wps:bodyPr>
                        </wps:wsp>
                        <wps:wsp>
                          <wps:cNvPr id="7" name="Line 8"/>
                          <wps:cNvCnPr/>
                          <wps:spPr bwMode="auto">
                            <a:xfrm flipV="1">
                              <a:off x="2700" y="9396"/>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700" y="939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5040" y="8616"/>
                              <a:ext cx="1785" cy="476"/>
                            </a:xfrm>
                            <a:prstGeom prst="rect">
                              <a:avLst/>
                            </a:prstGeom>
                            <a:solidFill>
                              <a:srgbClr val="FFFFFF"/>
                            </a:solidFill>
                            <a:ln w="9525">
                              <a:solidFill>
                                <a:srgbClr val="000000"/>
                              </a:solidFill>
                              <a:miter lim="800000"/>
                              <a:headEnd/>
                              <a:tailEnd/>
                            </a:ln>
                          </wps:spPr>
                          <wps:txbx>
                            <w:txbxContent>
                              <w:p w:rsidR="00FD7EDF" w:rsidRDefault="00FD7EDF" w:rsidP="00FD7EDF">
                                <w:pPr>
                                  <w:jc w:val="center"/>
                                  <w:rPr>
                                    <w:sz w:val="24"/>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280" y="9708"/>
                              <a:ext cx="1440" cy="476"/>
                            </a:xfrm>
                            <a:prstGeom prst="rect">
                              <a:avLst/>
                            </a:prstGeom>
                            <a:solidFill>
                              <a:srgbClr val="FFFFFF"/>
                            </a:solidFill>
                            <a:ln w="9525">
                              <a:solidFill>
                                <a:srgbClr val="000000"/>
                              </a:solidFill>
                              <a:miter lim="800000"/>
                              <a:headEnd/>
                              <a:tailEnd/>
                            </a:ln>
                          </wps:spPr>
                          <wps:txbx>
                            <w:txbxContent>
                              <w:p w:rsidR="00FD7EDF" w:rsidRDefault="00FD7EDF" w:rsidP="00FD7EDF">
                                <w:pPr>
                                  <w:jc w:val="center"/>
                                  <w:rPr>
                                    <w:sz w:val="24"/>
                                  </w:rPr>
                                </w:pPr>
                              </w:p>
                            </w:txbxContent>
                          </wps:txbx>
                          <wps:bodyPr rot="0" vert="horz" wrap="square" lIns="91440" tIns="45720" rIns="91440" bIns="45720" anchor="t" anchorCtr="0" upright="1">
                            <a:noAutofit/>
                          </wps:bodyPr>
                        </wps:wsp>
                        <wps:wsp>
                          <wps:cNvPr id="11" name="Line 12"/>
                          <wps:cNvCnPr/>
                          <wps:spPr bwMode="auto">
                            <a:xfrm>
                              <a:off x="4860" y="939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7020" y="939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9180" y="9396"/>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5pt;margin-top:3.4pt;width:387pt;height:78.4pt;z-index:251658240" coordorigin="1980,8616" coordsize="7740,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">
                <v:line id="Line 3" o:spid="_x0000_s1027" style="position:absolute;flip:x;visibility:visible;mso-wrap-style:square" from="5940,9084" to="5940,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group id="Group 4" o:spid="_x0000_s1028" style="position:absolute;left:1980;top:8616;width:7740;height:1568" coordorigin="1980,8616" coordsize="7740,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980;top:9708;width:178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D7EDF" w:rsidRDefault="00FD7EDF" w:rsidP="00FD7EDF">
                          <w:pPr>
                            <w:jc w:val="center"/>
                            <w:rPr>
                              <w:sz w:val="24"/>
                            </w:rPr>
                          </w:pPr>
                        </w:p>
                      </w:txbxContent>
                    </v:textbox>
                  </v:shape>
                  <v:shape id="Text Box 6" o:spid="_x0000_s1030" type="#_x0000_t202" style="position:absolute;left:4140;top:9708;width:157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D7EDF" w:rsidRDefault="00FD7EDF" w:rsidP="00FD7EDF">
                          <w:pPr>
                            <w:jc w:val="center"/>
                            <w:rPr>
                              <w:sz w:val="24"/>
                            </w:rPr>
                          </w:pPr>
                        </w:p>
                      </w:txbxContent>
                    </v:textbox>
                  </v:shape>
                  <v:shape id="Text Box 7" o:spid="_x0000_s1031" type="#_x0000_t202" style="position:absolute;left:6120;top:9708;width:174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D7EDF" w:rsidRDefault="00FD7EDF" w:rsidP="00FD7EDF">
                          <w:pPr>
                            <w:jc w:val="center"/>
                            <w:rPr>
                              <w:sz w:val="24"/>
                            </w:rPr>
                          </w:pPr>
                        </w:p>
                      </w:txbxContent>
                    </v:textbox>
                  </v:shape>
                  <v:line id="Line 8" o:spid="_x0000_s1032" style="position:absolute;flip:y;visibility:visible;mso-wrap-style:square" from="2700,9396" to="9180,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9" o:spid="_x0000_s1033" style="position:absolute;visibility:visible;mso-wrap-style:square" from="2700,9396" to="2700,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0" o:spid="_x0000_s1034" type="#_x0000_t202" style="position:absolute;left:5040;top:8616;width:178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D7EDF" w:rsidRDefault="00FD7EDF" w:rsidP="00FD7EDF">
                          <w:pPr>
                            <w:jc w:val="center"/>
                            <w:rPr>
                              <w:sz w:val="24"/>
                            </w:rPr>
                          </w:pPr>
                        </w:p>
                      </w:txbxContent>
                    </v:textbox>
                  </v:shape>
                  <v:shape id="Text Box 11" o:spid="_x0000_s1035" type="#_x0000_t202" style="position:absolute;left:8280;top:9708;width:144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D7EDF" w:rsidRDefault="00FD7EDF" w:rsidP="00FD7EDF">
                          <w:pPr>
                            <w:jc w:val="center"/>
                            <w:rPr>
                              <w:sz w:val="24"/>
                            </w:rPr>
                          </w:pPr>
                        </w:p>
                      </w:txbxContent>
                    </v:textbox>
                  </v:shape>
                  <v:line id="Line 12" o:spid="_x0000_s1036" style="position:absolute;visibility:visible;mso-wrap-style:square" from="4860,9396" to="4860,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mso-wrap-style:square" from="7020,9396" to="7020,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mso-wrap-style:square" from="9180,9396" to="9180,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v:group>
            </w:pict>
          </mc:Fallback>
        </mc:AlternateContent>
      </w:r>
    </w:p>
    <w:p w:rsidR="00FD7EDF" w:rsidRDefault="00FD7EDF" w:rsidP="00FD7EDF">
      <w:pPr>
        <w:snapToGrid w:val="0"/>
        <w:spacing w:line="440" w:lineRule="exact"/>
        <w:rPr>
          <w:rFonts w:hAnsi="宋体"/>
          <w:color w:val="000000"/>
          <w:sz w:val="24"/>
        </w:rPr>
      </w:pPr>
    </w:p>
    <w:p w:rsidR="00FD7EDF" w:rsidRDefault="00FD7EDF" w:rsidP="00FD7EDF">
      <w:pPr>
        <w:snapToGrid w:val="0"/>
        <w:spacing w:line="440" w:lineRule="exact"/>
        <w:rPr>
          <w:rFonts w:hAnsi="宋体"/>
          <w:color w:val="000000"/>
          <w:sz w:val="24"/>
        </w:rPr>
      </w:pPr>
    </w:p>
    <w:p w:rsidR="00FD7EDF" w:rsidRDefault="00FD7EDF" w:rsidP="00FD7EDF">
      <w:pPr>
        <w:snapToGrid w:val="0"/>
        <w:spacing w:line="440" w:lineRule="exact"/>
        <w:rPr>
          <w:rFonts w:hAnsi="宋体"/>
          <w:color w:val="000000"/>
          <w:sz w:val="24"/>
        </w:rPr>
      </w:pP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2</w:t>
      </w:r>
      <w:r>
        <w:rPr>
          <w:rFonts w:hAnsi="宋体" w:hint="eastAsia"/>
          <w:color w:val="000000"/>
          <w:sz w:val="24"/>
        </w:rPr>
        <w:t>．应急识别</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当下列情况发生时，应判定为应急事故、事件，启动应急机制：</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火灾、爆炸、食物中毒、溺水事故、交通事故、自然灾害事故、实习人员突发急病、抢劫、强奸、杀人、行凶、放火、绑架、打架、盗窃、聚众打砸抢、实习人员走失、失踪等。</w:t>
      </w: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3</w:t>
      </w:r>
      <w:r>
        <w:rPr>
          <w:rFonts w:hAnsi="宋体" w:hint="eastAsia"/>
          <w:color w:val="000000"/>
          <w:sz w:val="24"/>
        </w:rPr>
        <w:t>．应急报告</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应急事故、事件发生后，最先发现者、知情者、受害者应通过口头、电话、电报、手机、哨子、喇叭等适当形式，立即向带队教师、其他老师、报警联络组、抢救组、事故处置组报告，或在情势非常危急时直接与外部联系；报警联络组应向实习所在单位或食宿所在部门报告，必要时与外部联系（火警</w:t>
      </w:r>
      <w:r>
        <w:rPr>
          <w:rFonts w:hAnsi="宋体"/>
          <w:color w:val="000000"/>
          <w:sz w:val="24"/>
        </w:rPr>
        <w:t>119</w:t>
      </w:r>
      <w:r>
        <w:rPr>
          <w:rFonts w:hAnsi="宋体" w:hint="eastAsia"/>
          <w:color w:val="000000"/>
          <w:sz w:val="24"/>
        </w:rPr>
        <w:t>、匪警</w:t>
      </w:r>
      <w:r>
        <w:rPr>
          <w:rFonts w:hAnsi="宋体"/>
          <w:color w:val="000000"/>
          <w:sz w:val="24"/>
        </w:rPr>
        <w:t>110</w:t>
      </w:r>
      <w:r>
        <w:rPr>
          <w:rFonts w:hAnsi="宋体" w:hint="eastAsia"/>
          <w:color w:val="000000"/>
          <w:sz w:val="24"/>
        </w:rPr>
        <w:t>、救死扶伤</w:t>
      </w:r>
      <w:r>
        <w:rPr>
          <w:rFonts w:hAnsi="宋体"/>
          <w:color w:val="000000"/>
          <w:sz w:val="24"/>
        </w:rPr>
        <w:t>120</w:t>
      </w:r>
      <w:r>
        <w:rPr>
          <w:rFonts w:hAnsi="宋体" w:hint="eastAsia"/>
          <w:color w:val="000000"/>
          <w:sz w:val="24"/>
        </w:rPr>
        <w:t>），报告应讲明：突发事故、事件发生的具体地址、具体地点（包括名称、楼层及房间号等）、事故事件性质、现场基本情况等。随时加强抢救组、事故处置组、应急总指挥和外部有关部门之间的联系。</w:t>
      </w: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4</w:t>
      </w:r>
      <w:r>
        <w:rPr>
          <w:rFonts w:hAnsi="宋体" w:hint="eastAsia"/>
          <w:color w:val="000000"/>
          <w:sz w:val="24"/>
        </w:rPr>
        <w:t>．应急总指挥</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带队教师在知道或应当知道突发事故、事件发生后，担任应急总指挥。统一指挥、协调报警联络组、抢救组、事故处置组、疏散组的突发事故、事件的处置工作。必要时应联系好运送伤病员的车辆或当法定部门和有关部门赶赴现场后，配合其处置事故、事件。</w:t>
      </w: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5</w:t>
      </w:r>
      <w:r>
        <w:rPr>
          <w:rFonts w:hAnsi="宋体" w:hint="eastAsia"/>
          <w:color w:val="000000"/>
          <w:sz w:val="24"/>
        </w:rPr>
        <w:t>．抢救与处置</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lastRenderedPageBreak/>
        <w:t>（</w:t>
      </w:r>
      <w:r>
        <w:rPr>
          <w:rFonts w:hAnsi="宋体"/>
          <w:color w:val="000000"/>
          <w:sz w:val="24"/>
        </w:rPr>
        <w:t>1</w:t>
      </w:r>
      <w:r>
        <w:rPr>
          <w:rFonts w:hAnsi="宋体" w:hint="eastAsia"/>
          <w:color w:val="000000"/>
          <w:sz w:val="24"/>
        </w:rPr>
        <w:t>）抢救</w:t>
      </w:r>
    </w:p>
    <w:p w:rsidR="00FD7EDF" w:rsidRDefault="00FD7EDF" w:rsidP="00FD7EDF">
      <w:pPr>
        <w:snapToGrid w:val="0"/>
        <w:spacing w:line="440" w:lineRule="exact"/>
        <w:ind w:firstLineChars="171" w:firstLine="410"/>
        <w:rPr>
          <w:rFonts w:hAnsi="宋体"/>
          <w:color w:val="000000"/>
          <w:sz w:val="24"/>
        </w:rPr>
      </w:pPr>
      <w:r>
        <w:rPr>
          <w:rFonts w:hAnsi="宋体" w:hint="eastAsia"/>
          <w:color w:val="000000"/>
          <w:sz w:val="24"/>
        </w:rPr>
        <w:t>抢救组成员在知道或应当知道突发事故、事件发生后，应迅速赶赴现场，采取适当方法抢救伤病员和贵重的物品或资料，必要时协助事故处置组或法定部门和有关部门处置事故、事件。</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2</w:t>
      </w:r>
      <w:r>
        <w:rPr>
          <w:rFonts w:hAnsi="宋体" w:hint="eastAsia"/>
          <w:color w:val="000000"/>
          <w:sz w:val="24"/>
        </w:rPr>
        <w:t>）事故处置</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事故处置组成员在知道或应当知道突发事故、事件发生后，在应急总指挥统一指挥、协调下，应立即赶赴现场依法采取适当措施处置事故、事件或防止其发展，并保护好现场。</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采取适当方法或措施，确保应急通道畅通，组织人员和物资的安全转移。</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当法定部门或有关部门赶赴现场后，应听从其统一安排和部署，协助其事故、事件的处理。</w:t>
      </w:r>
    </w:p>
    <w:p w:rsidR="00FD7EDF" w:rsidRDefault="00FD7EDF" w:rsidP="00FD7EDF">
      <w:pPr>
        <w:snapToGrid w:val="0"/>
        <w:spacing w:line="440" w:lineRule="exact"/>
        <w:ind w:firstLineChars="200" w:firstLine="480"/>
        <w:rPr>
          <w:rFonts w:hAnsi="宋体"/>
          <w:color w:val="000000"/>
          <w:sz w:val="24"/>
        </w:rPr>
      </w:pPr>
      <w:r>
        <w:rPr>
          <w:rFonts w:hAnsi="宋体"/>
          <w:color w:val="000000"/>
          <w:sz w:val="24"/>
        </w:rPr>
        <w:t>6</w:t>
      </w:r>
      <w:r>
        <w:rPr>
          <w:rFonts w:hAnsi="宋体" w:hint="eastAsia"/>
          <w:color w:val="000000"/>
          <w:sz w:val="24"/>
        </w:rPr>
        <w:t>．调查与追究责任</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1</w:t>
      </w:r>
      <w:r>
        <w:rPr>
          <w:rFonts w:hAnsi="宋体" w:hint="eastAsia"/>
          <w:color w:val="000000"/>
          <w:sz w:val="24"/>
        </w:rPr>
        <w:t>）学生和教师违反《</w:t>
      </w:r>
      <w:bookmarkStart w:id="1" w:name="OLE_LINK1"/>
      <w:r>
        <w:rPr>
          <w:rFonts w:hAnsi="宋体" w:hint="eastAsia"/>
          <w:color w:val="000000"/>
          <w:sz w:val="24"/>
        </w:rPr>
        <w:t>校外实践教学</w:t>
      </w:r>
      <w:bookmarkEnd w:id="1"/>
      <w:r>
        <w:rPr>
          <w:rFonts w:hAnsi="宋体" w:hint="eastAsia"/>
          <w:color w:val="000000"/>
          <w:sz w:val="24"/>
        </w:rPr>
        <w:t>安全管理规定》中规定的相关内容，按情节分别给予纪律处分和行政处分，触犯法律的，依法承担民事责任和刑事责任。</w:t>
      </w:r>
    </w:p>
    <w:p w:rsidR="00FD7EDF" w:rsidRDefault="00FD7EDF" w:rsidP="00FD7EDF">
      <w:pPr>
        <w:snapToGrid w:val="0"/>
        <w:spacing w:line="440" w:lineRule="exact"/>
        <w:ind w:firstLineChars="200" w:firstLine="480"/>
        <w:rPr>
          <w:rFonts w:hAnsi="宋体"/>
          <w:color w:val="000000"/>
          <w:sz w:val="24"/>
        </w:rPr>
      </w:pPr>
      <w:r>
        <w:rPr>
          <w:rFonts w:hAnsi="宋体" w:hint="eastAsia"/>
          <w:color w:val="000000"/>
          <w:sz w:val="24"/>
        </w:rPr>
        <w:t>（</w:t>
      </w:r>
      <w:r>
        <w:rPr>
          <w:rFonts w:hAnsi="宋体"/>
          <w:color w:val="000000"/>
          <w:sz w:val="24"/>
        </w:rPr>
        <w:t>2</w:t>
      </w:r>
      <w:r>
        <w:rPr>
          <w:rFonts w:hAnsi="宋体" w:hint="eastAsia"/>
          <w:color w:val="000000"/>
          <w:sz w:val="24"/>
        </w:rPr>
        <w:t>）突发事故、事件处置结束后，参与事故、事件处置人员，应如实向法定部门或有关部门陈述所知事实，并配合其调查处理。故意隐瞒、歪曲事实真相，触犯刑律的，要依法追究刑事责任。</w:t>
      </w:r>
    </w:p>
    <w:p w:rsidR="00FD7EDF" w:rsidRDefault="00FD7EDF" w:rsidP="00FD7EDF">
      <w:pPr>
        <w:snapToGrid w:val="0"/>
        <w:spacing w:line="440" w:lineRule="exact"/>
        <w:ind w:firstLineChars="175" w:firstLine="420"/>
        <w:rPr>
          <w:rFonts w:hAnsi="宋体"/>
          <w:color w:val="000000"/>
          <w:sz w:val="24"/>
        </w:rPr>
      </w:pPr>
      <w:r>
        <w:rPr>
          <w:rFonts w:hAnsi="宋体"/>
          <w:color w:val="000000"/>
          <w:sz w:val="24"/>
        </w:rPr>
        <w:t>7</w:t>
      </w:r>
      <w:r>
        <w:rPr>
          <w:rFonts w:hAnsi="宋体" w:hint="eastAsia"/>
          <w:color w:val="000000"/>
          <w:sz w:val="24"/>
        </w:rPr>
        <w:t>．事故、事件调查报告</w:t>
      </w:r>
    </w:p>
    <w:p w:rsidR="00FD7EDF" w:rsidRDefault="00FD7EDF" w:rsidP="00FD7EDF">
      <w:pPr>
        <w:snapToGrid w:val="0"/>
        <w:spacing w:line="440" w:lineRule="exact"/>
        <w:rPr>
          <w:rFonts w:ascii="宋体" w:hAnsi="宋体"/>
          <w:color w:val="000000"/>
          <w:sz w:val="24"/>
        </w:rPr>
      </w:pPr>
      <w:r>
        <w:rPr>
          <w:rFonts w:hAnsi="宋体" w:hint="eastAsia"/>
          <w:color w:val="000000"/>
          <w:sz w:val="24"/>
        </w:rPr>
        <w:t>突发事故、事件调查处理后，带队教师应编制《突发事故、事件报告》，报送学院保卫部门。报告应包括：事故事件性质、发生原因分析、现场处置措施或方法、事故事件责任、纠正及预防措施等。</w:t>
      </w:r>
    </w:p>
    <w:p w:rsidR="00B4413D" w:rsidRDefault="00B4413D" w:rsidP="00FD7EDF"/>
    <w:sectPr w:rsidR="00B4413D" w:rsidSect="00DA3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DF"/>
    <w:rsid w:val="000259DD"/>
    <w:rsid w:val="00026C92"/>
    <w:rsid w:val="00033DEF"/>
    <w:rsid w:val="0005575D"/>
    <w:rsid w:val="00067BF4"/>
    <w:rsid w:val="00092B9C"/>
    <w:rsid w:val="00093259"/>
    <w:rsid w:val="000F174A"/>
    <w:rsid w:val="000F1C45"/>
    <w:rsid w:val="00121341"/>
    <w:rsid w:val="00123108"/>
    <w:rsid w:val="00125581"/>
    <w:rsid w:val="0012580E"/>
    <w:rsid w:val="00125AA7"/>
    <w:rsid w:val="00140138"/>
    <w:rsid w:val="0014191A"/>
    <w:rsid w:val="00177A12"/>
    <w:rsid w:val="001C741C"/>
    <w:rsid w:val="001E6BBD"/>
    <w:rsid w:val="00200C66"/>
    <w:rsid w:val="00210594"/>
    <w:rsid w:val="00223435"/>
    <w:rsid w:val="00227D17"/>
    <w:rsid w:val="00235B92"/>
    <w:rsid w:val="00250211"/>
    <w:rsid w:val="00252ACC"/>
    <w:rsid w:val="00266075"/>
    <w:rsid w:val="00266CBC"/>
    <w:rsid w:val="00293AFC"/>
    <w:rsid w:val="002B4479"/>
    <w:rsid w:val="002C2828"/>
    <w:rsid w:val="002C4A0F"/>
    <w:rsid w:val="002E0A4F"/>
    <w:rsid w:val="00317C5E"/>
    <w:rsid w:val="00322FF4"/>
    <w:rsid w:val="00341B59"/>
    <w:rsid w:val="00414BBD"/>
    <w:rsid w:val="004734D3"/>
    <w:rsid w:val="004823E6"/>
    <w:rsid w:val="00482BDF"/>
    <w:rsid w:val="0049258A"/>
    <w:rsid w:val="00521FDB"/>
    <w:rsid w:val="00523BAD"/>
    <w:rsid w:val="0059001D"/>
    <w:rsid w:val="005A20B5"/>
    <w:rsid w:val="005A5487"/>
    <w:rsid w:val="005A7E47"/>
    <w:rsid w:val="005B1617"/>
    <w:rsid w:val="005C727B"/>
    <w:rsid w:val="005D0FAA"/>
    <w:rsid w:val="005F520A"/>
    <w:rsid w:val="006103F3"/>
    <w:rsid w:val="00617881"/>
    <w:rsid w:val="00631A7B"/>
    <w:rsid w:val="006467F4"/>
    <w:rsid w:val="006601EC"/>
    <w:rsid w:val="00672A4B"/>
    <w:rsid w:val="006A28E8"/>
    <w:rsid w:val="006C36EE"/>
    <w:rsid w:val="006E30B5"/>
    <w:rsid w:val="00720746"/>
    <w:rsid w:val="00737F01"/>
    <w:rsid w:val="007722C3"/>
    <w:rsid w:val="00787218"/>
    <w:rsid w:val="007B1958"/>
    <w:rsid w:val="007C2936"/>
    <w:rsid w:val="007C71A2"/>
    <w:rsid w:val="007E39F2"/>
    <w:rsid w:val="007F73F5"/>
    <w:rsid w:val="00822705"/>
    <w:rsid w:val="008248BB"/>
    <w:rsid w:val="0085688E"/>
    <w:rsid w:val="00861420"/>
    <w:rsid w:val="00887829"/>
    <w:rsid w:val="0089543D"/>
    <w:rsid w:val="008D049A"/>
    <w:rsid w:val="008D4131"/>
    <w:rsid w:val="008E089A"/>
    <w:rsid w:val="008F186A"/>
    <w:rsid w:val="008F7691"/>
    <w:rsid w:val="00915D46"/>
    <w:rsid w:val="00934746"/>
    <w:rsid w:val="009545A2"/>
    <w:rsid w:val="00997E3C"/>
    <w:rsid w:val="009B1DB9"/>
    <w:rsid w:val="009D1C0C"/>
    <w:rsid w:val="009D3E35"/>
    <w:rsid w:val="009D7F97"/>
    <w:rsid w:val="009F1018"/>
    <w:rsid w:val="00A7336C"/>
    <w:rsid w:val="00AD504C"/>
    <w:rsid w:val="00AE0718"/>
    <w:rsid w:val="00AF5055"/>
    <w:rsid w:val="00AF77CF"/>
    <w:rsid w:val="00B4413D"/>
    <w:rsid w:val="00B505A8"/>
    <w:rsid w:val="00B513B7"/>
    <w:rsid w:val="00B51BF2"/>
    <w:rsid w:val="00B5616E"/>
    <w:rsid w:val="00B579FD"/>
    <w:rsid w:val="00B71D10"/>
    <w:rsid w:val="00B86E8B"/>
    <w:rsid w:val="00B97AE8"/>
    <w:rsid w:val="00BA71EC"/>
    <w:rsid w:val="00BB1D4C"/>
    <w:rsid w:val="00BE4228"/>
    <w:rsid w:val="00C14147"/>
    <w:rsid w:val="00C221C3"/>
    <w:rsid w:val="00C25706"/>
    <w:rsid w:val="00C367F9"/>
    <w:rsid w:val="00C37033"/>
    <w:rsid w:val="00C43754"/>
    <w:rsid w:val="00C628B6"/>
    <w:rsid w:val="00C84B9B"/>
    <w:rsid w:val="00CA36C7"/>
    <w:rsid w:val="00CB5554"/>
    <w:rsid w:val="00CD7DCA"/>
    <w:rsid w:val="00CE1AFE"/>
    <w:rsid w:val="00CE5491"/>
    <w:rsid w:val="00CF1D99"/>
    <w:rsid w:val="00D05C63"/>
    <w:rsid w:val="00D10624"/>
    <w:rsid w:val="00D16C2F"/>
    <w:rsid w:val="00D27E07"/>
    <w:rsid w:val="00D36BA8"/>
    <w:rsid w:val="00D36DB7"/>
    <w:rsid w:val="00D40232"/>
    <w:rsid w:val="00D544FD"/>
    <w:rsid w:val="00DA3249"/>
    <w:rsid w:val="00DE345A"/>
    <w:rsid w:val="00E02352"/>
    <w:rsid w:val="00E63A56"/>
    <w:rsid w:val="00E7109A"/>
    <w:rsid w:val="00EA4283"/>
    <w:rsid w:val="00EE278E"/>
    <w:rsid w:val="00EF0104"/>
    <w:rsid w:val="00EF7EC5"/>
    <w:rsid w:val="00EF7ED4"/>
    <w:rsid w:val="00F01E8B"/>
    <w:rsid w:val="00FB01F2"/>
    <w:rsid w:val="00FD7AFC"/>
    <w:rsid w:val="00FD7EDF"/>
    <w:rsid w:val="00FF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夏京</dc:creator>
  <cp:lastModifiedBy>夏京</cp:lastModifiedBy>
  <cp:revision>1</cp:revision>
  <dcterms:created xsi:type="dcterms:W3CDTF">2019-06-12T02:22:00Z</dcterms:created>
  <dcterms:modified xsi:type="dcterms:W3CDTF">2019-06-12T02:23:00Z</dcterms:modified>
</cp:coreProperties>
</file>