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</w:rPr>
        <w:t>防灾科技学院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专业建设项目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建设</w:t>
      </w:r>
      <w:r>
        <w:rPr>
          <w:rFonts w:hint="eastAsia" w:ascii="黑体" w:eastAsia="黑体"/>
          <w:b/>
          <w:bCs/>
          <w:sz w:val="44"/>
          <w:szCs w:val="44"/>
        </w:rPr>
        <w:t>方案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tbl>
      <w:tblPr>
        <w:tblStyle w:val="4"/>
        <w:tblW w:w="67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4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所在单位：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专业名称：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专业负责人：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填表时间：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>202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年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月  </w:t>
            </w:r>
            <w:r>
              <w:rPr>
                <w:rFonts w:ascii="黑体" w:eastAsia="黑体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  <w:u w:val="single"/>
              </w:rPr>
              <w:t xml:space="preserve"> 日    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教务处制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</w:t>
      </w:r>
      <w:r>
        <w:rPr>
          <w:rFonts w:ascii="楷体_GB2312" w:eastAsia="楷体_GB2312"/>
          <w:b/>
          <w:sz w:val="32"/>
          <w:szCs w:val="32"/>
        </w:rPr>
        <w:t>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32"/>
        </w:rPr>
        <w:t>年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填  表  说  明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left="480" w:hanging="480" w:hangingChars="150"/>
        <w:rPr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1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1.传统专业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对照《河北省普通高等学校一流本科专业建设评估标准》，新兴专业参照《普通高等学校本科专业类教学质量国家标准》和《普通高等学校第三级本科专业认证标准》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由项目负责人填写，经专业所在单位审核、学校组织专家验收给出结论后，由教务处和专业建设单位分别留存作为项目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过程管理和验收考核的主要依据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560" w:firstLineChars="17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应明确专业定位突出特色优势、推进专业综合改革、加强师资队伍建设、健全做实质量保障体系等方面制定具体方案，切实提高专业建设水平和人才培养质量。</w:t>
      </w:r>
    </w:p>
    <w:p>
      <w:pPr>
        <w:adjustRightInd w:val="0"/>
        <w:snapToGrid w:val="0"/>
        <w:spacing w:line="360" w:lineRule="auto"/>
        <w:ind w:firstLine="560" w:firstLineChars="175"/>
        <w:rPr>
          <w:rFonts w:ascii="仿宋" w:hAnsi="仿宋" w:eastAsia="仿宋"/>
          <w:sz w:val="24"/>
          <w:szCs w:val="24"/>
        </w:rPr>
        <w:sectPr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/>
          <w:sz w:val="32"/>
          <w:szCs w:val="32"/>
        </w:rPr>
        <w:t>内容应据实填写，项目负责人对材料真实性负责。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一、专业建设总目标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总目标：努力建设成为专业定位准确、特色优势突出、专业综合改革有突破、师资队伍建设成效显著、质量保障体系健全、人才培养质量高、社会评价优良，服务行业和经济社会贡献度高的优势特色专业。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（各专业结合专业特点将总目标具体化）</w:t>
            </w:r>
          </w:p>
        </w:tc>
      </w:tr>
    </w:tbl>
    <w:p>
      <w:pPr>
        <w:adjustRightInd w:val="0"/>
        <w:snapToGrid w:val="0"/>
        <w:spacing w:before="24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4"/>
        </w:rPr>
        <w:t>、专业建设主要任务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/>
          <w:sz w:val="24"/>
          <w:szCs w:val="24"/>
        </w:rPr>
        <w:t>、拟解决的重点难点问题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000" w:type="pct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/>
          <w:sz w:val="24"/>
          <w:szCs w:val="24"/>
        </w:rPr>
        <w:t>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分</w:t>
      </w:r>
      <w:r>
        <w:rPr>
          <w:rFonts w:hint="eastAsia" w:ascii="黑体" w:hAnsi="黑体" w:eastAsia="黑体"/>
          <w:sz w:val="24"/>
          <w:szCs w:val="24"/>
        </w:rPr>
        <w:t>年度专业建设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计划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按照总目标要求，分解至202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年、202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年、202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年，明确各项建设任务与成果的完成时间，能分年度表述的要分年度表述，对于跨年度、连续性的建设任务，应明确提出任务实施阶段和完成时限。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五、预期取得的标志性成果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528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标志性成果包括但不限于：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要求修订的人才培养方案；获得省级及以上一流本科课程认定，出版高水平特色教材；教师教育教学水平明显提升，教学评价好；系统制定了师资建设与培养措施，并有效执行；质量保障体系健全并运行有效；教师积极研究、解决教育教学中各种问题，形成可复制经验，发表高水平教育教学研究与改革论文；获得省部级及以上教学奖励和支持；申请专业认证被受理；本专业学生在省部级及以上各类重要学科竞赛中表现突出；本专业毕业生就业率、境内外升学率高，毕业生行业认可度高、社会整体评价好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六、经费使用预算 </w:t>
      </w:r>
    </w:p>
    <w:tbl>
      <w:tblPr>
        <w:tblStyle w:val="4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310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学院意见（签字）：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2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教务处意见（签字）：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997751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NTNlNDRlYTRiNzJjMTQ0ODdhODlkY2QwM2JiYWEifQ=="/>
  </w:docVars>
  <w:rsids>
    <w:rsidRoot w:val="00E43AB3"/>
    <w:rsid w:val="0002592C"/>
    <w:rsid w:val="0004709A"/>
    <w:rsid w:val="00095702"/>
    <w:rsid w:val="0015765C"/>
    <w:rsid w:val="001A4D43"/>
    <w:rsid w:val="00221E4E"/>
    <w:rsid w:val="00466CFD"/>
    <w:rsid w:val="004C4FD0"/>
    <w:rsid w:val="00556FD9"/>
    <w:rsid w:val="0060792A"/>
    <w:rsid w:val="006C25A3"/>
    <w:rsid w:val="00774376"/>
    <w:rsid w:val="00850AF7"/>
    <w:rsid w:val="008B7ACF"/>
    <w:rsid w:val="00A266E7"/>
    <w:rsid w:val="00AC4526"/>
    <w:rsid w:val="00BE4014"/>
    <w:rsid w:val="00D17A0F"/>
    <w:rsid w:val="00D34158"/>
    <w:rsid w:val="00D542EE"/>
    <w:rsid w:val="00D92210"/>
    <w:rsid w:val="00E36F06"/>
    <w:rsid w:val="00E43AB3"/>
    <w:rsid w:val="00F934CE"/>
    <w:rsid w:val="00F9760B"/>
    <w:rsid w:val="288055DE"/>
    <w:rsid w:val="56E46476"/>
    <w:rsid w:val="69126FBB"/>
    <w:rsid w:val="6CA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页脚 字符1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1110</Characters>
  <Lines>9</Lines>
  <Paragraphs>2</Paragraphs>
  <TotalTime>16</TotalTime>
  <ScaleCrop>false</ScaleCrop>
  <LinksUpToDate>false</LinksUpToDate>
  <CharactersWithSpaces>1302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2023-03-21T10:05:00Z</dcterms:created>
  <dc:creator>Administrator</dc:creator>
  <cp:lastModifiedBy>夏京</cp:lastModifiedBy>
  <cp:lastPrinted>2024-04-25T02:37:29Z</cp:lastPrinted>
  <dcterms:modified xsi:type="dcterms:W3CDTF">2024-04-25T02:53:35Z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8988FFE38C5A415D8D669A2A61007CC5_12</vt:lpwstr>
  </property>
</Properties>
</file>